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14" w:rsidRPr="005E52D7" w:rsidRDefault="00551214" w:rsidP="00551214">
      <w:pPr>
        <w:tabs>
          <w:tab w:val="left" w:pos="2268"/>
        </w:tabs>
        <w:spacing w:before="6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ГЛАВА </w:t>
      </w:r>
      <w:r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BB71E3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ab/>
        <w:t>ТЕХНИЧЕСКИ СПЕЦИФИКАЦИИ</w:t>
      </w:r>
    </w:p>
    <w:p w:rsidR="00551214" w:rsidRPr="009A7C1E" w:rsidRDefault="00551214" w:rsidP="00551214">
      <w:pPr>
        <w:numPr>
          <w:ilvl w:val="0"/>
          <w:numId w:val="2"/>
        </w:numPr>
        <w:suppressAutoHyphens/>
        <w:snapToGrid w:val="0"/>
        <w:spacing w:before="600"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313545860"/>
      <w:bookmarkStart w:id="1" w:name="_Toc409109006"/>
      <w:r w:rsidRPr="009A7C1E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bookmarkEnd w:id="0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ЪВЕДЕНИЕ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2" w:name="_Toc313545869"/>
      <w:bookmarkStart w:id="3" w:name="_Toc408553695"/>
      <w:bookmarkStart w:id="4" w:name="_Toc408553819"/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техническа спецификация е разработена на база методически указания за изпълнение на Оперативна програма „Региони в растеж“ 2014-2020 г., приоритетна ос 3: „Регионална образователна инфраструктура“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„Региони в растеж“ 2014-2020 г., приоритетна ос 3: „Регионална образователна инфраструктура“ е насочена към подобряване на образователната инфраструктура от национално и регионално значение, предоставяща квалификация и умения на учащите,свързани с нуждите на пазара на труда, но същевременно и към подкрепа за обекти на образователната инфраструктура за учащи в неравностойно положение, приоритизирани на национално ниво.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Приоритетната ос има две специфични цели: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Подобряване качеството на образователната среда в сферата на висшето образование и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повишаване на нейната привлекателност сред учащите.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Осигуряване на равен достъп на групите в неравностойно положение до образователната услуга, предлагана във висшите училища.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ХТМУ отговаря за цялостното техническо и финансово администриране на програмата на своята територия. </w:t>
      </w:r>
    </w:p>
    <w:p w:rsidR="00551214" w:rsidRPr="00D417C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В изпълнение на програмата ХТМУ провежда настоящата поръчка за възлагане на дейностите съгласно Закона за обществените поръчки и приложимите нормативни актове.</w:t>
      </w:r>
    </w:p>
    <w:p w:rsidR="00551214" w:rsidRPr="009A7C1E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Териториален обхват</w:t>
      </w:r>
      <w:bookmarkEnd w:id="2"/>
      <w:bookmarkEnd w:id="3"/>
      <w:bookmarkEnd w:id="4"/>
    </w:p>
    <w:p w:rsidR="00551214" w:rsidRPr="009A7C1E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Предмет на настоящата техническа спецификация са дейностите по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Оперативна програма „Региони в растеж“ 2014-2020 г.,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приоритетна ос 3: „Регионална образователна инфраструктура“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процедура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BG16RFOP001-3.003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”ПОДКРЕПА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ВИСШИТЕ УЧИЛИЩА В РЕПУБЛИКА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БЪЛГАРИЯ”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свързани с изпълнението на проекти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подобряване на об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разователната инфраструктура от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национално и регионално значение, предоставяща кв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алификация и умения на учащите,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свързани с нуждите на пазара на труда, но същевременно и към подкреп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за обекти на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образователната инфраструктура за учащи в неравностой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 положение, приоритизирани на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национално ниво.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във връзка със сключен Договор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безвъзмездна финансова помощ </w:t>
      </w:r>
      <w:r w:rsidRPr="00D417C4">
        <w:rPr>
          <w:rFonts w:ascii="Times New Roman" w:eastAsia="Calibri" w:hAnsi="Times New Roman" w:cs="Times New Roman"/>
          <w:sz w:val="24"/>
          <w:szCs w:val="24"/>
          <w:lang w:val="bg-BG"/>
        </w:rPr>
        <w:t>№ BG16RFOP001-3.003-0003-C01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между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ХТМУ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Министерство на регионалното развитие и благоустройството. </w:t>
      </w:r>
    </w:p>
    <w:p w:rsidR="00551214" w:rsidRPr="00AB5098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bookmarkStart w:id="5" w:name="_Toc313545870"/>
      <w:bookmarkStart w:id="6" w:name="_Toc408553696"/>
      <w:bookmarkStart w:id="7" w:name="_Toc408553820"/>
      <w:r w:rsidRPr="00AB5098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Целеви групи</w:t>
      </w:r>
      <w:bookmarkEnd w:id="5"/>
      <w:bookmarkEnd w:id="6"/>
      <w:bookmarkEnd w:id="7"/>
    </w:p>
    <w:p w:rsidR="00551214" w:rsidRPr="009A7C1E" w:rsidRDefault="00551214" w:rsidP="00551214">
      <w:p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B509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 настоящата процедура на директно предоставяне на безвъзмездна финансова помощ може да участват единствено висшите училища, включени в списъка на допустимите кандидати(конкретни бенефициенти) по процедурата, които изрично са посочени като конкретни бенефициенти на помощта в Оперативна програма „Региони в растеж“ 2014-2020 г. и в критериите за избор на операции, одобрени от Комитета за наблюдение на оперативната програма.</w:t>
      </w:r>
    </w:p>
    <w:p w:rsidR="00551214" w:rsidRPr="00DC2A45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bookmarkStart w:id="8" w:name="_Toc313545871"/>
      <w:bookmarkStart w:id="9" w:name="_Toc408553697"/>
      <w:bookmarkStart w:id="10" w:name="_Toc408553821"/>
      <w:r w:rsidRPr="00DC2A45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Критерии за допустимост на сградите</w:t>
      </w:r>
      <w:bookmarkEnd w:id="8"/>
      <w:bookmarkEnd w:id="9"/>
      <w:bookmarkEnd w:id="10"/>
    </w:p>
    <w:p w:rsidR="0055121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11" w:name="_Toc313545877"/>
      <w:bookmarkStart w:id="12" w:name="_Toc408553702"/>
      <w:bookmarkStart w:id="13" w:name="_Toc408553826"/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Всички интервенции в рамките на проектното предложе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ние следва да се осъществяват в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сградите на висшите училища, в които се пред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оставят образователни услуги по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съответното/ите приоритетни направления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В случай че сградата обект на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интервенция, освен за обучение на студенти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приоритетните професионални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направления, определени за подкрепа по ОПРР 2014-202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0, се използва и за обучение на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студенти и по други направления, е необходимо във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формуляра за кандидатстване да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бъде посочен относителният дял на студентите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приоритетните направления за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подкрепа, както и да бъде обосновано, че сградата щ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се използва предимно и/или ще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допринесе за развитието на приоритетните професион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ални направления, определени за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подкрепа по ОПРР, за което следва да бъдат представ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ени съответните доказателства –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заповеди, утвърдено разпределение на учебните зали за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провеждане на обучение или др.</w:t>
      </w:r>
    </w:p>
    <w:p w:rsidR="00551214" w:rsidRPr="00DC2A45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Сградите, обекти на интервенция по проекта, трябва 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са собственост на съответното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висше училище, държавна и/или общинс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 собственост, предоставени за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безвъзмездно ползване на висшето училище.</w:t>
      </w:r>
    </w:p>
    <w:p w:rsidR="00551214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Допустими за финансиране дейности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настоящата процедура са само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интервенции върху инфраструктура/оборудван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е/обзавеждане, които се ползват </w:t>
      </w:r>
      <w:r w:rsidRPr="00DC2A45">
        <w:rPr>
          <w:rFonts w:ascii="Times New Roman" w:eastAsia="Calibri" w:hAnsi="Times New Roman" w:cs="Times New Roman"/>
          <w:sz w:val="24"/>
          <w:szCs w:val="24"/>
          <w:lang w:val="bg-BG"/>
        </w:rPr>
        <w:t>изцяло по нестопански начин.</w:t>
      </w:r>
    </w:p>
    <w:p w:rsidR="00551214" w:rsidRPr="00DC2A45" w:rsidRDefault="00551214" w:rsidP="00551214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Допустими дейности</w:t>
      </w:r>
      <w:bookmarkEnd w:id="11"/>
      <w:bookmarkEnd w:id="12"/>
      <w:bookmarkEnd w:id="13"/>
    </w:p>
    <w:p w:rsidR="00551214" w:rsidRDefault="00551214" w:rsidP="00551214">
      <w:p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035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изискванията по Приоритетна ос 3 „Регионална образователна инфраструктура“ на ОПРР 2014 - 2020 година допустимите дейности за финансиране по сградите са:</w:t>
      </w:r>
    </w:p>
    <w:p w:rsidR="00551214" w:rsidRDefault="00551214" w:rsidP="00551214">
      <w:p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51214" w:rsidRPr="00767293" w:rsidRDefault="00551214" w:rsidP="00551214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Строителство, реконструкция и ремонт на висши училища, включително прилежащото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дворно пространство, както и конструктивни обследвания на съответните сгради,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подобряване на достъпа за хора с увреждания до образователните сгради като част от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строително-монтажните работи, свързани с тях;</w:t>
      </w:r>
    </w:p>
    <w:p w:rsidR="00551214" w:rsidRPr="0020355D" w:rsidRDefault="00551214" w:rsidP="00551214">
      <w:pPr>
        <w:pStyle w:val="ListParagraph"/>
        <w:numPr>
          <w:ilvl w:val="1"/>
          <w:numId w:val="9"/>
        </w:numPr>
        <w:snapToGri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Доставка и монтаж на оборудване и обзавеждане за горепосочените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7293">
        <w:rPr>
          <w:rFonts w:ascii="Times New Roman" w:eastAsia="Calibri" w:hAnsi="Times New Roman" w:cs="Times New Roman"/>
          <w:sz w:val="24"/>
          <w:szCs w:val="24"/>
          <w:lang w:val="bg-BG"/>
        </w:rPr>
        <w:t>сгради/помещения, като част от цялостното им обновяване</w:t>
      </w:r>
      <w:r w:rsidRPr="0020355D">
        <w:rPr>
          <w:rFonts w:ascii="Times New Roman" w:eastAsia="Calibri" w:hAnsi="Times New Roman" w:cs="Times New Roman"/>
          <w:b/>
          <w:i/>
          <w:strike/>
          <w:sz w:val="24"/>
          <w:szCs w:val="24"/>
          <w:lang w:val="bg-BG"/>
        </w:rPr>
        <w:t>.</w:t>
      </w:r>
    </w:p>
    <w:p w:rsidR="00551214" w:rsidRPr="0020355D" w:rsidRDefault="00551214" w:rsidP="00551214">
      <w:pPr>
        <w:pStyle w:val="ListParagraph"/>
        <w:numPr>
          <w:ilvl w:val="1"/>
          <w:numId w:val="9"/>
        </w:numPr>
        <w:snapToGri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0355D">
        <w:rPr>
          <w:rFonts w:ascii="Times New Roman" w:eastAsia="Calibri" w:hAnsi="Times New Roman" w:cs="Times New Roman"/>
          <w:sz w:val="24"/>
          <w:szCs w:val="24"/>
          <w:lang w:val="bg-BG"/>
        </w:rPr>
        <w:t>Подобряване на достъпа за лица с увреждания.</w:t>
      </w:r>
    </w:p>
    <w:p w:rsidR="00551214" w:rsidRPr="008D465B" w:rsidRDefault="00551214" w:rsidP="005512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D465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ВАЖНО! </w:t>
      </w:r>
    </w:p>
    <w:p w:rsidR="00551214" w:rsidRPr="009A7C1E" w:rsidRDefault="00551214" w:rsidP="005512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Няма да се финансират:</w:t>
      </w:r>
    </w:p>
    <w:p w:rsidR="00551214" w:rsidRPr="009A7C1E" w:rsidRDefault="00551214" w:rsidP="005512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napToGri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Всички разходи извън посочените като допустими.</w:t>
      </w:r>
    </w:p>
    <w:p w:rsidR="00551214" w:rsidRPr="009A7C1E" w:rsidRDefault="00551214" w:rsidP="005512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napToGrid w:val="0"/>
        <w:spacing w:before="120"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Всички разходи за дейности, които не са предписани в резултат на извършеното техническо и енергийно обследване.</w:t>
      </w:r>
    </w:p>
    <w:p w:rsidR="00551214" w:rsidRPr="009A7C1E" w:rsidRDefault="00551214" w:rsidP="005512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napToGrid w:val="0"/>
        <w:spacing w:before="120"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дограма.</w:t>
      </w:r>
    </w:p>
    <w:p w:rsidR="00551214" w:rsidRPr="009A7C1E" w:rsidRDefault="00551214" w:rsidP="00551214">
      <w:pPr>
        <w:suppressAutoHyphens/>
        <w:snapToGrid w:val="0"/>
        <w:spacing w:before="48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</w:pPr>
      <w:bookmarkStart w:id="14" w:name="_Toc408553703"/>
      <w:bookmarkStart w:id="15" w:name="_Toc408553827"/>
      <w:bookmarkStart w:id="16" w:name="_Toc409109011"/>
      <w:r w:rsidRPr="009A7C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Допустими разходи по настоящата обществена поръчка </w:t>
      </w:r>
      <w:bookmarkEnd w:id="14"/>
      <w:bookmarkEnd w:id="15"/>
      <w:bookmarkEnd w:id="16"/>
    </w:p>
    <w:p w:rsidR="00551214" w:rsidRPr="009A7C1E" w:rsidRDefault="00551214" w:rsidP="00551214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разходи за строителен надзор</w:t>
      </w:r>
    </w:p>
    <w:p w:rsidR="00551214" w:rsidRPr="009A7C1E" w:rsidRDefault="00551214" w:rsidP="00551214">
      <w:pPr>
        <w:snapToGrid w:val="0"/>
        <w:spacing w:before="120"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Разходите, определени за строителен надзор, са фиксирани и не подлежат на промяна.</w:t>
      </w:r>
    </w:p>
    <w:p w:rsidR="00551214" w:rsidRPr="009A7C1E" w:rsidRDefault="00551214" w:rsidP="00551214">
      <w:pPr>
        <w:numPr>
          <w:ilvl w:val="0"/>
          <w:numId w:val="2"/>
        </w:num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ПРЕДМЕТ</w:t>
      </w:r>
    </w:p>
    <w:p w:rsidR="00551214" w:rsidRDefault="00551214" w:rsidP="00551214">
      <w:pPr>
        <w:suppressAutoHyphens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bookmarkStart w:id="17" w:name="_Toc313545901"/>
      <w:bookmarkStart w:id="18" w:name="_Toc409109022"/>
      <w:r>
        <w:rPr>
          <w:rFonts w:ascii="Times New Roman" w:eastAsia="Calibri" w:hAnsi="Times New Roman" w:cs="Times New Roman"/>
          <w:sz w:val="24"/>
          <w:szCs w:val="24"/>
          <w:lang w:val="bg-BG"/>
        </w:rPr>
        <w:t>Избраният изпълнител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тази поръчка ще изпълняват ролята на К</w:t>
      </w:r>
      <w:r w:rsidRPr="009A7C1E">
        <w:rPr>
          <w:rFonts w:ascii="Times New Roman" w:eastAsia="Calibri" w:hAnsi="Times New Roman" w:cs="Times New Roman"/>
          <w:bCs/>
          <w:sz w:val="24"/>
          <w:lang w:val="bg-BG"/>
        </w:rPr>
        <w:t>онсултант по смисъла на чл. 168 от ЗУТ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като </w:t>
      </w:r>
      <w:r w:rsidRPr="009A7C1E">
        <w:rPr>
          <w:rFonts w:ascii="Times New Roman" w:eastAsia="Calibri" w:hAnsi="Times New Roman" w:cs="Times New Roman"/>
          <w:bCs/>
          <w:sz w:val="24"/>
          <w:lang w:val="bg-BG"/>
        </w:rPr>
        <w:t>осъществяват строителен надзор при реализацията на</w:t>
      </w:r>
      <w:r w:rsidRPr="009A7C1E">
        <w:rPr>
          <w:rFonts w:ascii="Times New Roman" w:eastAsia="Calibri" w:hAnsi="Times New Roman" w:cs="Times New Roman"/>
          <w:sz w:val="24"/>
          <w:lang w:val="ru-RU"/>
        </w:rPr>
        <w:t xml:space="preserve"> Инженеринг във връзка с реализацията на </w:t>
      </w:r>
      <w:r w:rsidRPr="009A7C1E">
        <w:rPr>
          <w:rFonts w:ascii="Times New Roman" w:eastAsia="Calibri" w:hAnsi="Times New Roman" w:cs="Times New Roman"/>
          <w:bCs/>
          <w:sz w:val="24"/>
          <w:lang w:val="bg-BG"/>
        </w:rPr>
        <w:t xml:space="preserve">Оперативна програма „Региони в растеж“ 2014-2020 г., Приоритетна ос </w:t>
      </w:r>
      <w:r>
        <w:rPr>
          <w:rFonts w:ascii="Times New Roman" w:eastAsia="Calibri" w:hAnsi="Times New Roman" w:cs="Times New Roman"/>
          <w:bCs/>
          <w:sz w:val="24"/>
          <w:lang w:val="bg-BG"/>
        </w:rPr>
        <w:t>3</w:t>
      </w:r>
      <w:r w:rsidRPr="009A7C1E">
        <w:rPr>
          <w:rFonts w:ascii="Times New Roman" w:eastAsia="Calibri" w:hAnsi="Times New Roman" w:cs="Times New Roman"/>
          <w:bCs/>
          <w:sz w:val="24"/>
          <w:lang w:val="bg-BG"/>
        </w:rPr>
        <w:t xml:space="preserve"> „</w:t>
      </w:r>
      <w:r>
        <w:rPr>
          <w:rFonts w:ascii="Times New Roman" w:eastAsia="Calibri" w:hAnsi="Times New Roman" w:cs="Times New Roman"/>
          <w:bCs/>
          <w:sz w:val="24"/>
          <w:lang w:val="bg-BG"/>
        </w:rPr>
        <w:t>Регионлана образователна инфраструктура</w:t>
      </w:r>
      <w:r w:rsidRPr="009A7C1E">
        <w:rPr>
          <w:rFonts w:ascii="Times New Roman" w:eastAsia="Calibri" w:hAnsi="Times New Roman" w:cs="Times New Roman"/>
          <w:bCs/>
          <w:sz w:val="24"/>
          <w:lang w:val="bg-BG"/>
        </w:rPr>
        <w:t xml:space="preserve">“, </w:t>
      </w:r>
      <w:r w:rsidRPr="009A7C1E">
        <w:rPr>
          <w:rFonts w:ascii="Times New Roman" w:eastAsia="Calibri" w:hAnsi="Times New Roman" w:cs="Times New Roman"/>
          <w:sz w:val="24"/>
          <w:lang w:val="bg-BG"/>
        </w:rPr>
        <w:t>Процедура</w:t>
      </w:r>
      <w:r>
        <w:rPr>
          <w:rFonts w:ascii="Times New Roman" w:eastAsia="Calibri" w:hAnsi="Times New Roman" w:cs="Times New Roman"/>
          <w:sz w:val="24"/>
        </w:rPr>
        <w:t xml:space="preserve"> BG16RFOP001-</w:t>
      </w:r>
      <w:r>
        <w:rPr>
          <w:rFonts w:ascii="Times New Roman" w:eastAsia="Calibri" w:hAnsi="Times New Roman" w:cs="Times New Roman"/>
          <w:sz w:val="24"/>
          <w:lang w:val="bg-BG"/>
        </w:rPr>
        <w:t>3</w:t>
      </w:r>
      <w:r>
        <w:rPr>
          <w:rFonts w:ascii="Times New Roman" w:eastAsia="Calibri" w:hAnsi="Times New Roman" w:cs="Times New Roman"/>
          <w:sz w:val="24"/>
        </w:rPr>
        <w:t>.00</w:t>
      </w:r>
      <w:r>
        <w:rPr>
          <w:rFonts w:ascii="Times New Roman" w:eastAsia="Calibri" w:hAnsi="Times New Roman" w:cs="Times New Roman"/>
          <w:sz w:val="24"/>
          <w:lang w:val="bg-BG"/>
        </w:rPr>
        <w:t>3</w:t>
      </w:r>
      <w:r w:rsidRPr="009A7C1E">
        <w:rPr>
          <w:rFonts w:ascii="Times New Roman" w:eastAsia="Calibri" w:hAnsi="Times New Roman" w:cs="Times New Roman"/>
          <w:sz w:val="24"/>
          <w:lang w:val="bg-BG"/>
        </w:rPr>
        <w:t xml:space="preserve"> „</w:t>
      </w:r>
      <w:r>
        <w:rPr>
          <w:rFonts w:ascii="Times New Roman" w:eastAsia="Calibri" w:hAnsi="Times New Roman" w:cs="Times New Roman"/>
          <w:sz w:val="24"/>
          <w:lang w:val="bg-BG"/>
        </w:rPr>
        <w:t>Подкрепа за висшите училища в Република България</w:t>
      </w:r>
      <w:r w:rsidRPr="009A7C1E">
        <w:rPr>
          <w:rFonts w:ascii="Times New Roman" w:eastAsia="Calibri" w:hAnsi="Times New Roman" w:cs="Times New Roman"/>
          <w:sz w:val="24"/>
          <w:lang w:val="bg-BG"/>
        </w:rPr>
        <w:t xml:space="preserve">“ 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- </w:t>
      </w:r>
      <w:bookmarkEnd w:id="17"/>
      <w:bookmarkEnd w:id="18"/>
      <w:r w:rsidRPr="00C1722C">
        <w:rPr>
          <w:rFonts w:ascii="Times New Roman" w:eastAsia="Calibri" w:hAnsi="Times New Roman" w:cs="Times New Roman"/>
          <w:sz w:val="24"/>
          <w:lang w:val="bg-BG"/>
        </w:rPr>
        <w:t>„Реконструкция, модернизация и въвеждане на мерки за енергийна ефективност в учебен корпус на ХИМИКОТЕХНОЛОГИЧЕН И МЕТАЛУРГИЧЕН УНИВЕРСИТЕТ- гр. София“.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9A7C1E">
        <w:rPr>
          <w:rFonts w:ascii="Times New Roman" w:eastAsia="Times New Roman" w:hAnsi="Times New Roman" w:cs="Times New Roman"/>
          <w:b/>
          <w:bCs/>
          <w:lang w:val="bg-BG" w:eastAsia="bg-BG"/>
        </w:rPr>
        <w:t>3. ОБХВАТ НА УСЛУГАТА</w:t>
      </w:r>
    </w:p>
    <w:p w:rsidR="00551214" w:rsidRDefault="00551214" w:rsidP="00551214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3.1. Описание на обекта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665AF5">
        <w:rPr>
          <w:rFonts w:ascii="Times New Roman" w:eastAsia="Calibri" w:hAnsi="Times New Roman" w:cs="Times New Roman"/>
          <w:sz w:val="24"/>
          <w:lang w:val="ru-RU"/>
        </w:rPr>
        <w:t>Сградата</w:t>
      </w:r>
      <w:r w:rsidRPr="00C1722C">
        <w:rPr>
          <w:rFonts w:ascii="Times New Roman" w:eastAsia="Calibri" w:hAnsi="Times New Roman" w:cs="Times New Roman"/>
          <w:sz w:val="24"/>
          <w:lang w:val="ru-RU"/>
        </w:rPr>
        <w:t>, предмет на обновяване е построена през 1968г. – 1972г., през 1983г. е извършена реконструкция и е извършен основен ремонт. Състои се от осем блока (А, Б, В, Г, Д, Е, Ж и З). Блоковете Б, В, Г и Д разполагат с един етаж (на кота нула) и сутерен (кота -3м.). Блок А разполага с четири етажа, плюс сутерен и технически етаж. Към сградата са прикрепени три типови блока тип хале с цел учебни работилници, разполагащи по проект с едно ниво, но в последствие са надградени частично и втори нива. Блок Д също разполага с работилница, която е без надграждане.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 xml:space="preserve">Блок А разполага с две стълбищни клетки, една в северната част, и една в южната (основна с неработещ асанцьор). Северната е еднораменна, а южната двураменна. Северният вход е частично преграден с голямо количество преградни стени, за допълнителни помещения, намесите освен интериорни са и фасадни. При южният вход, който понастоящем е основен, промените са значително по-малки, и са само в интериора на сградата. На горните нива, промените са малки, и се състоят в изместване и/или създаване на нови отвори за врати, преграждане на стари врати и обособяване на нови помещения. На всеки етаж има разположени по един санитарен възел, а в почти всички кабинети и зали има мивки и канализация съобразно с предназначението на сградата. Всички инсталации се събират в инсталационен вертикален </w:t>
      </w:r>
      <w:r w:rsidRPr="00C1722C">
        <w:rPr>
          <w:rFonts w:ascii="Times New Roman" w:eastAsia="Calibri" w:hAnsi="Times New Roman" w:cs="Times New Roman"/>
          <w:sz w:val="24"/>
          <w:lang w:val="ru-RU"/>
        </w:rPr>
        <w:lastRenderedPageBreak/>
        <w:t xml:space="preserve">буфер разположен между залите/кабинетите и вътрешния коридор. На сутерена има основни намеси, включващи изкопаването на две нови помещения, избиване на прозорец с английски двор, и на врати за новите помещения, усилване на конструкцията в новите помещения с допълнителни колони, наблюдава се разрушаване на английските дворове в следствие на слягане на сградата. 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 xml:space="preserve">Блок Б, В и Г разполагат с едно ниво (на кота нула) на което има малки намеси включващи преграждане на помещения, зазиждане на врати и избиването на нови такива. Затворени са някогашните входове от запад, с ново-изградени помещения. Блоковете разполагат с по един санитарен възел за всеки един от тях разположен до стълбищтните клетки водещи към сутерена. В сутерените на съответните блокове няма намеси. 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>Блок Д разполага с едно ниво (на кота нула), с работилница, представляваща помещение тип хале, изградено чрез виренгелови греди и покривни панели, към него има прикрепени помещения, на по ниско ниво, кабинети и складове. Блокът разполага с един санитарен възел в най-южната си част, обслужващ работилницата, останалите помещения се обслужват от санитарния възел на блок Г. В сутерена на сградата е разположено само едно техническо помещение, а останалата част не е копана. Достъпът е през стълбището от блок Г.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 xml:space="preserve">Халета Е, Ж и З, са типови, изградени от стоманобетонни колони и виренгелови греди с покривни панели и преградни стени от тухла. Намесите в трите халета са драстични, и индивидуални за всяко едно от тях. Основно са променени северните фасади на халета Е и Ж, с ново-изградени стени от газобетонови блокчета и подменена ПВЦ дограма, дограмата е подменена и на южните фасади. 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>Външните стени на сградта са изпълнени с плътни тухли с външна и вътрешна вароциментова мазилка с обща деб. 30см..</w:t>
      </w:r>
    </w:p>
    <w:p w:rsidR="00551214" w:rsidRPr="00C1722C" w:rsidRDefault="00551214" w:rsidP="005512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1722C">
        <w:rPr>
          <w:rFonts w:ascii="Times New Roman" w:eastAsia="Calibri" w:hAnsi="Times New Roman" w:cs="Times New Roman"/>
          <w:sz w:val="24"/>
          <w:lang w:val="ru-RU"/>
        </w:rPr>
        <w:t xml:space="preserve"> Подовете са предимно от мозайка и/или балатум.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3.2. Описание на дейностите по инженеринга:</w:t>
      </w:r>
    </w:p>
    <w:p w:rsidR="00551214" w:rsidRPr="009A7C1E" w:rsidRDefault="00551214" w:rsidP="00551214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Разработване на работни проекти за нуждите на обновяването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Работни проекти за нуждите на обновяването следва да бъдат изготвени от екип от правоспособни проектанти, съгласно ЗУТ, Наредба № 4 от 2001 г.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дейности. Проектите следва да бъдат придружени с подробни количествено-стойностни сметки по приложимите части, придружени с анализ на единичните цени за всички видове работи, включени в тях, съгласно препоръките за задължителните СМР в техническите паспорти и енергийните обследвания за обектите.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C140A">
        <w:rPr>
          <w:rFonts w:ascii="Times New Roman" w:eastAsia="Calibri" w:hAnsi="Times New Roman" w:cs="Times New Roman"/>
          <w:sz w:val="24"/>
          <w:szCs w:val="24"/>
          <w:lang w:val="bg-BG"/>
        </w:rPr>
        <w:t>Работният проект ще бъде надлежно съгласуван с всички експлоатационни дружества и други съгласувателни органи и одобрен от Компетентния орган. Извършва се от Възложителя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обяснителните записки проектантите следва подробно да опишат необходимите изходни данни, дейности, технико-икономически показатели, спецификация на предвидените за влагане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строителни продукти (материали, изделия, комплекти и системи) с технически изисквания към тях в съответствие с действащи норми и стандарти и технология на изпълнение, количествени и стойностни сметки. Работните проекти се изработват в обхват и съдържание съгласно изискванията на Наредба № 4 от 2001 година за обхвата и съдържанието на инвестиционните проекти.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Процесът на изготвяне на </w:t>
      </w:r>
      <w:r w:rsidRPr="005065DA">
        <w:rPr>
          <w:rFonts w:ascii="Times New Roman" w:eastAsia="Calibri" w:hAnsi="Times New Roman" w:cs="Times New Roman"/>
          <w:sz w:val="24"/>
          <w:szCs w:val="24"/>
          <w:lang w:val="bg-BG"/>
        </w:rPr>
        <w:t>техническата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документация се предшества от осигуряване на скица и виза за проектиране, ако е приложимо. Скицата и визата за проектиране се осигуряват от Възложителя.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При изготвяне на проектна документация, проектантският екип следва да използва предписанията за обновяване, дадени в изготвените за сградата техническо и енергийно обследване.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С работния проект: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1. се изясняват конкретните проектни решения в степен, осигуряваща възможност за цялостно изпълнение на предвидените видове СМР;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2. се осигурява съответствието на проектните решения с изискванията към строежите по чл. 169 от ЗУТ.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Работният инвестиционен проект следва да е с обхват и съдържание съгласно нормативните изисквания на Наредба №4/2001 г. за обхвата и съдържанието на инвестиционните проекти, а така също и специфичните изисквания на проекта.</w:t>
      </w:r>
    </w:p>
    <w:p w:rsidR="00551214" w:rsidRPr="009A7C1E" w:rsidRDefault="00551214" w:rsidP="00551214">
      <w:pPr>
        <w:tabs>
          <w:tab w:val="left" w:pos="8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Изпълнителят на настоящата обществена поръчка следва да извърши оценка на съответствието на инвестиционния проект в работна фаза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551214" w:rsidRPr="009A7C1E" w:rsidRDefault="00551214" w:rsidP="00551214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Упражняване на авторски</w:t>
      </w:r>
      <w:r w:rsidRPr="009A7C1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bg-BG" w:eastAsia="bg-BG"/>
        </w:rPr>
        <w:t xml:space="preserve"> </w:t>
      </w:r>
      <w:r w:rsidRPr="009A7C1E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bg-BG" w:eastAsia="bg-BG"/>
        </w:rPr>
        <w:t>надзор</w:t>
      </w:r>
    </w:p>
    <w:p w:rsidR="00551214" w:rsidRPr="009A7C1E" w:rsidRDefault="00551214" w:rsidP="00551214">
      <w:pPr>
        <w:spacing w:before="120" w:after="0" w:line="24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Cs/>
          <w:w w:val="105"/>
          <w:sz w:val="24"/>
          <w:szCs w:val="24"/>
          <w:lang w:val="bg-BG"/>
        </w:rPr>
        <w:t xml:space="preserve">Изпълнителят на Инженеринга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упражнява</w:t>
      </w:r>
      <w:r w:rsidRPr="009A7C1E">
        <w:rPr>
          <w:rFonts w:ascii="Times New Roman" w:eastAsia="Calibri" w:hAnsi="Times New Roman" w:cs="Times New Roman"/>
          <w:bCs/>
          <w:spacing w:val="53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авторския</w:t>
      </w:r>
      <w:r w:rsidRPr="009A7C1E">
        <w:rPr>
          <w:rFonts w:ascii="Times New Roman" w:eastAsia="Calibri" w:hAnsi="Times New Roman" w:cs="Times New Roman"/>
          <w:bCs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надзор</w:t>
      </w:r>
      <w:r w:rsidRPr="009A7C1E">
        <w:rPr>
          <w:rFonts w:ascii="Times New Roman" w:eastAsia="Calibri" w:hAnsi="Times New Roman" w:cs="Times New Roman"/>
          <w:bCs/>
          <w:spacing w:val="2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</w:t>
      </w:r>
      <w:r w:rsidRPr="009A7C1E">
        <w:rPr>
          <w:rFonts w:ascii="Times New Roman" w:eastAsia="Calibri" w:hAnsi="Times New Roman" w:cs="Times New Roman"/>
          <w:bCs/>
          <w:spacing w:val="10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време</w:t>
      </w:r>
      <w:r w:rsidRPr="009A7C1E">
        <w:rPr>
          <w:rFonts w:ascii="Times New Roman" w:eastAsia="Calibri" w:hAnsi="Times New Roman" w:cs="Times New Roman"/>
          <w:bCs/>
          <w:spacing w:val="17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</w:t>
      </w:r>
      <w:r w:rsidRPr="009A7C1E">
        <w:rPr>
          <w:rFonts w:ascii="Times New Roman" w:eastAsia="Calibri" w:hAnsi="Times New Roman" w:cs="Times New Roman"/>
          <w:bCs/>
          <w:spacing w:val="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w w:val="103"/>
          <w:sz w:val="24"/>
          <w:szCs w:val="24"/>
          <w:lang w:val="bg-BG"/>
        </w:rPr>
        <w:t xml:space="preserve">строителството,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съгласно</w:t>
      </w:r>
      <w:r w:rsidRPr="009A7C1E">
        <w:rPr>
          <w:rFonts w:ascii="Times New Roman" w:eastAsia="Calibri" w:hAnsi="Times New Roman" w:cs="Times New Roman"/>
          <w:bCs/>
          <w:spacing w:val="1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одобрените проектни</w:t>
      </w:r>
      <w:r w:rsidRPr="009A7C1E">
        <w:rPr>
          <w:rFonts w:ascii="Times New Roman" w:eastAsia="Calibri" w:hAnsi="Times New Roman" w:cs="Times New Roman"/>
          <w:bCs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документации</w:t>
      </w:r>
      <w:r w:rsidRPr="009A7C1E">
        <w:rPr>
          <w:rFonts w:ascii="Times New Roman" w:eastAsia="Calibri" w:hAnsi="Times New Roman" w:cs="Times New Roman"/>
          <w:bCs/>
          <w:spacing w:val="37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приложимата</w:t>
      </w:r>
      <w:r w:rsidRPr="009A7C1E">
        <w:rPr>
          <w:rFonts w:ascii="Times New Roman" w:eastAsia="Calibri" w:hAnsi="Times New Roman" w:cs="Times New Roman"/>
          <w:bCs/>
          <w:spacing w:val="3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нормативна</w:t>
      </w:r>
      <w:r w:rsidRPr="009A7C1E">
        <w:rPr>
          <w:rFonts w:ascii="Times New Roman" w:eastAsia="Calibri" w:hAnsi="Times New Roman" w:cs="Times New Roman"/>
          <w:bCs/>
          <w:spacing w:val="30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w w:val="104"/>
          <w:sz w:val="24"/>
          <w:szCs w:val="24"/>
          <w:lang w:val="bg-BG"/>
        </w:rPr>
        <w:t xml:space="preserve">уредба,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посредством проектантите по</w:t>
      </w:r>
      <w:r w:rsidRPr="009A7C1E">
        <w:rPr>
          <w:rFonts w:ascii="Times New Roman" w:eastAsia="Calibri" w:hAnsi="Times New Roman" w:cs="Times New Roman"/>
          <w:bCs/>
          <w:spacing w:val="4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отделните</w:t>
      </w:r>
      <w:r w:rsidRPr="009A7C1E">
        <w:rPr>
          <w:rFonts w:ascii="Times New Roman" w:eastAsia="Calibri" w:hAnsi="Times New Roman" w:cs="Times New Roman"/>
          <w:bCs/>
          <w:spacing w:val="4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части</w:t>
      </w:r>
      <w:r w:rsidRPr="009A7C1E">
        <w:rPr>
          <w:rFonts w:ascii="Times New Roman" w:eastAsia="Calibri" w:hAnsi="Times New Roman" w:cs="Times New Roman"/>
          <w:bCs/>
          <w:spacing w:val="5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</w:t>
      </w:r>
      <w:r w:rsidRPr="009A7C1E">
        <w:rPr>
          <w:rFonts w:ascii="Times New Roman" w:eastAsia="Calibri" w:hAnsi="Times New Roman" w:cs="Times New Roman"/>
          <w:bCs/>
          <w:spacing w:val="36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проекта</w:t>
      </w:r>
      <w:r w:rsidRPr="009A7C1E">
        <w:rPr>
          <w:rFonts w:ascii="Times New Roman" w:eastAsia="Calibri" w:hAnsi="Times New Roman" w:cs="Times New Roman"/>
          <w:bCs/>
          <w:spacing w:val="45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или</w:t>
      </w:r>
      <w:r w:rsidRPr="009A7C1E">
        <w:rPr>
          <w:rFonts w:ascii="Times New Roman" w:eastAsia="Calibri" w:hAnsi="Times New Roman" w:cs="Times New Roman"/>
          <w:bCs/>
          <w:spacing w:val="38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упълномощени </w:t>
      </w:r>
      <w:r w:rsidRPr="009A7C1E">
        <w:rPr>
          <w:rFonts w:ascii="Times New Roman" w:eastAsia="Calibri" w:hAnsi="Times New Roman" w:cs="Times New Roman"/>
          <w:bCs/>
          <w:w w:val="103"/>
          <w:sz w:val="24"/>
          <w:szCs w:val="24"/>
          <w:lang w:val="bg-BG"/>
        </w:rPr>
        <w:t xml:space="preserve">от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тях</w:t>
      </w:r>
      <w:r w:rsidRPr="009A7C1E">
        <w:rPr>
          <w:rFonts w:ascii="Times New Roman" w:eastAsia="Calibri" w:hAnsi="Times New Roman" w:cs="Times New Roman"/>
          <w:bCs/>
          <w:spacing w:val="15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лица</w:t>
      </w:r>
      <w:r w:rsidRPr="009A7C1E">
        <w:rPr>
          <w:rFonts w:ascii="Times New Roman" w:eastAsia="Calibri" w:hAnsi="Times New Roman" w:cs="Times New Roman"/>
          <w:bCs/>
          <w:spacing w:val="36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</w:t>
      </w:r>
      <w:r w:rsidRPr="009A7C1E">
        <w:rPr>
          <w:rFonts w:ascii="Times New Roman" w:eastAsia="Calibri" w:hAnsi="Times New Roman" w:cs="Times New Roman"/>
          <w:bCs/>
          <w:spacing w:val="13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условие,</w:t>
      </w:r>
      <w:r w:rsidRPr="009A7C1E">
        <w:rPr>
          <w:rFonts w:ascii="Times New Roman" w:eastAsia="Calibri" w:hAnsi="Times New Roman" w:cs="Times New Roman"/>
          <w:bCs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 упълномощените лица</w:t>
      </w:r>
      <w:r w:rsidRPr="009A7C1E">
        <w:rPr>
          <w:rFonts w:ascii="Times New Roman" w:eastAsia="Calibri" w:hAnsi="Times New Roman" w:cs="Times New Roman"/>
          <w:bCs/>
          <w:spacing w:val="22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притежават</w:t>
      </w:r>
      <w:r w:rsidRPr="009A7C1E">
        <w:rPr>
          <w:rFonts w:ascii="Times New Roman" w:eastAsia="Calibri" w:hAnsi="Times New Roman" w:cs="Times New Roman"/>
          <w:bCs/>
          <w:spacing w:val="35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bCs/>
          <w:w w:val="103"/>
          <w:sz w:val="24"/>
          <w:szCs w:val="24"/>
          <w:lang w:val="bg-BG"/>
        </w:rPr>
        <w:t>необходимата квалификация.</w:t>
      </w:r>
    </w:p>
    <w:p w:rsidR="00551214" w:rsidRPr="009A7C1E" w:rsidRDefault="00551214" w:rsidP="00551214">
      <w:pPr>
        <w:spacing w:before="120" w:after="0" w:line="24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Авторският</w:t>
      </w:r>
      <w:r w:rsidRPr="009A7C1E">
        <w:rPr>
          <w:rFonts w:ascii="Times New Roman" w:eastAsia="Calibri" w:hAnsi="Times New Roman" w:cs="Times New Roman"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надзор</w:t>
      </w:r>
      <w:r w:rsidRPr="009A7C1E">
        <w:rPr>
          <w:rFonts w:ascii="Times New Roman" w:eastAsia="Calibri" w:hAnsi="Times New Roman" w:cs="Times New Roman"/>
          <w:spacing w:val="1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ще бъде</w:t>
      </w:r>
      <w:r w:rsidRPr="009A7C1E">
        <w:rPr>
          <w:rFonts w:ascii="Times New Roman" w:eastAsia="Calibri" w:hAnsi="Times New Roman" w:cs="Times New Roman"/>
          <w:spacing w:val="12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упражняван</w:t>
      </w:r>
      <w:r w:rsidRPr="009A7C1E">
        <w:rPr>
          <w:rFonts w:ascii="Times New Roman" w:eastAsia="Calibri" w:hAnsi="Times New Roman" w:cs="Times New Roman"/>
          <w:spacing w:val="26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w w:val="103"/>
          <w:sz w:val="24"/>
          <w:szCs w:val="24"/>
          <w:lang w:val="bg-BG"/>
        </w:rPr>
        <w:t xml:space="preserve">във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всички</w:t>
      </w:r>
      <w:r w:rsidRPr="009A7C1E">
        <w:rPr>
          <w:rFonts w:ascii="Times New Roman" w:eastAsia="Calibri" w:hAnsi="Times New Roman" w:cs="Times New Roman"/>
          <w:spacing w:val="28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случаи,</w:t>
      </w:r>
      <w:r w:rsidRPr="009A7C1E">
        <w:rPr>
          <w:rFonts w:ascii="Times New Roman" w:eastAsia="Calibri" w:hAnsi="Times New Roman" w:cs="Times New Roman"/>
          <w:spacing w:val="25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когато</w:t>
      </w:r>
      <w:r w:rsidRPr="009A7C1E">
        <w:rPr>
          <w:rFonts w:ascii="Times New Roman" w:eastAsia="Calibri" w:hAnsi="Times New Roman" w:cs="Times New Roman"/>
          <w:spacing w:val="22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присъствието</w:t>
      </w:r>
      <w:r w:rsidRPr="009A7C1E">
        <w:rPr>
          <w:rFonts w:ascii="Times New Roman" w:eastAsia="Calibri" w:hAnsi="Times New Roman" w:cs="Times New Roman"/>
          <w:spacing w:val="43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Calibri" w:hAnsi="Times New Roman" w:cs="Times New Roman"/>
          <w:spacing w:val="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проектант</w:t>
      </w:r>
      <w:r w:rsidRPr="009A7C1E">
        <w:rPr>
          <w:rFonts w:ascii="Times New Roman" w:eastAsia="Calibri" w:hAnsi="Times New Roman" w:cs="Times New Roman"/>
          <w:spacing w:val="35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Calibri" w:hAnsi="Times New Roman" w:cs="Times New Roman"/>
          <w:spacing w:val="1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обекта</w:t>
      </w:r>
      <w:r w:rsidRPr="009A7C1E">
        <w:rPr>
          <w:rFonts w:ascii="Times New Roman" w:eastAsia="Calibri" w:hAnsi="Times New Roman" w:cs="Times New Roman"/>
          <w:spacing w:val="19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9A7C1E">
        <w:rPr>
          <w:rFonts w:ascii="Times New Roman" w:eastAsia="Calibri" w:hAnsi="Times New Roman" w:cs="Times New Roman"/>
          <w:spacing w:val="1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наложително,</w:t>
      </w:r>
      <w:r w:rsidRPr="009A7C1E">
        <w:rPr>
          <w:rFonts w:ascii="Times New Roman" w:eastAsia="Calibri" w:hAnsi="Times New Roman" w:cs="Times New Roman"/>
          <w:spacing w:val="46"/>
          <w:sz w:val="24"/>
          <w:szCs w:val="24"/>
          <w:lang w:val="bg-BG"/>
        </w:rPr>
        <w:t xml:space="preserve"> </w:t>
      </w:r>
      <w:r w:rsidRPr="009A7C1E">
        <w:rPr>
          <w:rFonts w:ascii="Times New Roman" w:eastAsia="Calibri" w:hAnsi="Times New Roman" w:cs="Times New Roman"/>
          <w:w w:val="104"/>
          <w:sz w:val="24"/>
          <w:szCs w:val="24"/>
          <w:lang w:val="bg-BG"/>
        </w:rPr>
        <w:t>относно:</w:t>
      </w:r>
    </w:p>
    <w:p w:rsidR="00551214" w:rsidRPr="009A7C1E" w:rsidRDefault="00551214" w:rsidP="00551214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Присъствие при съставяне и</w:t>
      </w:r>
      <w:r w:rsidRPr="009A7C1E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подписване на задължителните протоколи </w:t>
      </w:r>
      <w:r w:rsidRPr="009A7C1E">
        <w:rPr>
          <w:rFonts w:ascii="Times New Roman" w:eastAsia="Times New Roman" w:hAnsi="Times New Roman" w:cs="Times New Roman"/>
          <w:w w:val="102"/>
          <w:sz w:val="24"/>
          <w:szCs w:val="24"/>
          <w:lang w:val="bg-BG"/>
        </w:rPr>
        <w:t xml:space="preserve">и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актове</w:t>
      </w:r>
      <w:r w:rsidRPr="009A7C1E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9A7C1E">
        <w:rPr>
          <w:rFonts w:ascii="Times New Roman" w:eastAsia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време</w:t>
      </w:r>
      <w:r w:rsidRPr="009A7C1E">
        <w:rPr>
          <w:rFonts w:ascii="Times New Roman" w:eastAsia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строителството</w:t>
      </w:r>
      <w:r w:rsidRPr="009A7C1E">
        <w:rPr>
          <w:rFonts w:ascii="Times New Roman" w:eastAsia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9A7C1E">
        <w:rPr>
          <w:rFonts w:ascii="Times New Roman" w:eastAsia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9A7C1E">
        <w:rPr>
          <w:rFonts w:ascii="Times New Roman" w:eastAsia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случаите</w:t>
      </w:r>
      <w:r w:rsidRPr="009A7C1E">
        <w:rPr>
          <w:rFonts w:ascii="Times New Roman" w:eastAsia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установяване</w:t>
      </w:r>
      <w:r w:rsidRPr="009A7C1E">
        <w:rPr>
          <w:rFonts w:ascii="Times New Roman" w:eastAsia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точно</w:t>
      </w:r>
      <w:r w:rsidRPr="009A7C1E">
        <w:rPr>
          <w:rFonts w:ascii="Times New Roman" w:eastAsia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3"/>
          <w:sz w:val="24"/>
          <w:szCs w:val="24"/>
          <w:lang w:val="bg-BG"/>
        </w:rPr>
        <w:t xml:space="preserve">изпълнение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проекта,</w:t>
      </w:r>
      <w:r w:rsidRPr="009A7C1E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заверки</w:t>
      </w:r>
      <w:r w:rsidRPr="009A7C1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при</w:t>
      </w:r>
      <w:r w:rsidRPr="009A7C1E">
        <w:rPr>
          <w:rFonts w:ascii="Times New Roman" w:eastAsia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9A7C1E">
        <w:rPr>
          <w:rFonts w:ascii="Times New Roman" w:eastAsia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9A7C1E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страна</w:t>
      </w:r>
      <w:r w:rsidRPr="009A7C1E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</w:t>
      </w:r>
      <w:r w:rsidRPr="009A7C1E">
        <w:rPr>
          <w:rFonts w:ascii="Times New Roman" w:eastAsia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9A7C1E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>др.;</w:t>
      </w:r>
    </w:p>
    <w:p w:rsidR="00551214" w:rsidRPr="009A7C1E" w:rsidRDefault="00551214" w:rsidP="00551214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Наблюдение на изпълнението на строежа по време на целия период </w:t>
      </w:r>
      <w:r w:rsidRPr="009A7C1E">
        <w:rPr>
          <w:rFonts w:ascii="Times New Roman" w:eastAsia="Times New Roman" w:hAnsi="Times New Roman" w:cs="Times New Roman"/>
          <w:w w:val="106"/>
          <w:sz w:val="24"/>
          <w:szCs w:val="24"/>
          <w:lang w:val="bg-BG"/>
        </w:rPr>
        <w:t xml:space="preserve">на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</w:t>
      </w:r>
      <w:r w:rsidRPr="009A7C1E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строително-монтажните</w:t>
      </w:r>
      <w:r w:rsidRPr="009A7C1E">
        <w:rPr>
          <w:rFonts w:ascii="Times New Roman" w:eastAsia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работи</w:t>
      </w:r>
      <w:r w:rsidRPr="009A7C1E">
        <w:rPr>
          <w:rFonts w:ascii="Times New Roman" w:eastAsia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за спазване</w:t>
      </w:r>
      <w:r w:rsidRPr="009A7C1E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предписанията</w:t>
      </w:r>
      <w:r w:rsidRPr="009A7C1E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4"/>
          <w:sz w:val="24"/>
          <w:szCs w:val="24"/>
          <w:lang w:val="bg-BG"/>
        </w:rPr>
        <w:t xml:space="preserve">на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проектанта за</w:t>
      </w:r>
      <w:r w:rsidRPr="009A7C1E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точно</w:t>
      </w:r>
      <w:r w:rsidRPr="009A7C1E">
        <w:rPr>
          <w:rFonts w:ascii="Times New Roman" w:eastAsia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</w:t>
      </w:r>
      <w:r w:rsidRPr="009A7C1E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изработения</w:t>
      </w:r>
      <w:r w:rsidRPr="009A7C1E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9A7C1E">
        <w:rPr>
          <w:rFonts w:ascii="Times New Roman" w:eastAsia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него</w:t>
      </w:r>
      <w:r w:rsidRPr="009A7C1E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проект</w:t>
      </w:r>
      <w:r w:rsidRPr="009A7C1E">
        <w:rPr>
          <w:rFonts w:ascii="Times New Roman" w:eastAsia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9A7C1E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страна</w:t>
      </w:r>
      <w:r w:rsidRPr="009A7C1E">
        <w:rPr>
          <w:rFonts w:ascii="Times New Roman" w:eastAsia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3"/>
          <w:sz w:val="24"/>
          <w:szCs w:val="24"/>
          <w:lang w:val="bg-BG"/>
        </w:rPr>
        <w:t xml:space="preserve">всички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</w:t>
      </w:r>
      <w:r w:rsidRPr="009A7C1E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9A7C1E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3"/>
          <w:sz w:val="24"/>
          <w:szCs w:val="24"/>
          <w:lang w:val="bg-BG"/>
        </w:rPr>
        <w:t>строителството;</w:t>
      </w:r>
    </w:p>
    <w:p w:rsidR="00551214" w:rsidRPr="009A7C1E" w:rsidRDefault="00551214" w:rsidP="00551214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Изработване</w:t>
      </w:r>
      <w:r w:rsidRPr="009A7C1E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9A7C1E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съгласуване</w:t>
      </w:r>
      <w:r w:rsidRPr="009A7C1E">
        <w:rPr>
          <w:rFonts w:ascii="Times New Roman" w:eastAsia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промени</w:t>
      </w:r>
      <w:r w:rsidRPr="009A7C1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в проектната</w:t>
      </w:r>
      <w:r w:rsidRPr="009A7C1E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документация,</w:t>
      </w:r>
      <w:r w:rsidRPr="009A7C1E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при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необходимост, по искане на Възложителя и/или по предложение на </w:t>
      </w:r>
      <w:r w:rsidRPr="009A7C1E">
        <w:rPr>
          <w:rFonts w:ascii="Times New Roman" w:eastAsia="Times New Roman" w:hAnsi="Times New Roman" w:cs="Times New Roman"/>
          <w:w w:val="103"/>
          <w:sz w:val="24"/>
          <w:szCs w:val="24"/>
          <w:lang w:val="bg-BG"/>
        </w:rPr>
        <w:t xml:space="preserve">строителния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надзор</w:t>
      </w:r>
      <w:r w:rsidRPr="009A7C1E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9A7C1E">
        <w:rPr>
          <w:rFonts w:ascii="Times New Roman" w:eastAsia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3"/>
          <w:sz w:val="24"/>
          <w:szCs w:val="24"/>
          <w:lang w:val="bg-BG"/>
        </w:rPr>
        <w:t>др.;</w:t>
      </w:r>
    </w:p>
    <w:p w:rsidR="00551214" w:rsidRPr="009A7C1E" w:rsidRDefault="00551214" w:rsidP="00551214">
      <w:pPr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lastRenderedPageBreak/>
        <w:t>Заверка</w:t>
      </w:r>
      <w:r w:rsidRPr="009A7C1E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екзекутивната</w:t>
      </w:r>
      <w:r w:rsidRPr="009A7C1E"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документация</w:t>
      </w:r>
      <w:r w:rsidRPr="009A7C1E"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за</w:t>
      </w:r>
      <w:r w:rsidRPr="009A7C1E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строежа</w:t>
      </w:r>
      <w:r w:rsidRPr="009A7C1E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след</w:t>
      </w:r>
      <w:r w:rsidRPr="009A7C1E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изпълнение</w:t>
      </w:r>
      <w:r w:rsidRPr="009A7C1E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на</w:t>
      </w:r>
      <w:r w:rsidRPr="009A7C1E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bg-BG"/>
        </w:rPr>
        <w:t xml:space="preserve"> </w:t>
      </w:r>
      <w:r w:rsidRPr="009A7C1E">
        <w:rPr>
          <w:rFonts w:ascii="Times New Roman" w:eastAsia="Times New Roman" w:hAnsi="Times New Roman" w:cs="Times New Roman"/>
          <w:w w:val="103"/>
          <w:position w:val="-1"/>
          <w:sz w:val="24"/>
          <w:szCs w:val="24"/>
          <w:lang w:val="bg-BG"/>
        </w:rPr>
        <w:t>обектите.</w:t>
      </w:r>
    </w:p>
    <w:p w:rsidR="00551214" w:rsidRPr="009A7C1E" w:rsidRDefault="00551214" w:rsidP="00551214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Изпълнение на СМР</w:t>
      </w:r>
    </w:p>
    <w:p w:rsidR="00551214" w:rsidRPr="009A7C1E" w:rsidRDefault="00551214" w:rsidP="00551214">
      <w:pPr>
        <w:spacing w:before="120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Изпълнението на СМР за обновяване за енергийна ефективност се извършва в съответствие с </w:t>
      </w:r>
      <w:r w:rsidRPr="00BB4397">
        <w:rPr>
          <w:rFonts w:ascii="Times New Roman" w:eastAsia="Calibri" w:hAnsi="Times New Roman" w:cs="Times New Roman"/>
          <w:sz w:val="24"/>
          <w:szCs w:val="24"/>
          <w:lang w:val="bg-BG"/>
        </w:rPr>
        <w:t>част трета "Строителство" от ЗУТ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започва след издаване на разрешение за строеж от компетентните органи за всеки конкретен обект.</w:t>
      </w:r>
    </w:p>
    <w:p w:rsidR="00551214" w:rsidRPr="009A7C1E" w:rsidRDefault="00551214" w:rsidP="00551214">
      <w:pPr>
        <w:spacing w:before="120" w:after="0" w:line="24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Разрешение за строеж се издава от общинската администрация и при представяне на техническа документация с оценено съответствие. </w:t>
      </w:r>
    </w:p>
    <w:p w:rsidR="00551214" w:rsidRPr="009A7C1E" w:rsidRDefault="00551214" w:rsidP="00551214">
      <w:pPr>
        <w:spacing w:before="120" w:after="0" w:line="24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Участниците в строителството и взаимоотношенията между тях по проекта се определят от изискванията на раздел втори, част трета от ЗУТ и от указанията на Възложителя, предоставени в настоящата документация.</w:t>
      </w:r>
    </w:p>
    <w:p w:rsidR="00551214" w:rsidRPr="009A7C1E" w:rsidRDefault="00551214" w:rsidP="00551214">
      <w:pPr>
        <w:spacing w:before="120" w:after="0" w:line="240" w:lineRule="auto"/>
        <w:ind w:right="-1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Строителят (физическо или юридическо лице, притежаващо съответната компетентност) изпълнява СМР за обновяване за енергийна ефективност за всеки обект в съответствие с издадените строителни книжа, условията на договора и изискванията на чл. 163 и чл. 163а от ЗУТ.</w:t>
      </w:r>
    </w:p>
    <w:p w:rsidR="00551214" w:rsidRPr="009A7C1E" w:rsidRDefault="00551214" w:rsidP="00551214">
      <w:pPr>
        <w:spacing w:before="120" w:after="0" w:line="240" w:lineRule="auto"/>
        <w:ind w:right="-1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Обстоятелствата, свързани със започване, изпълнение и въвеждане в експлоатация (приемане) на СМР за обновяване за енергийна ефективност, ще се удостоверяват със съставяне и подписване от участниците на съответните актове и протоколи съобразно Наредба № 3 от </w:t>
      </w:r>
      <w:smartTag w:uri="urn:schemas-microsoft-com:office:smarttags" w:element="metricconverter">
        <w:smartTagPr>
          <w:attr w:name="ProductID" w:val="2003 г"/>
        </w:smartTagPr>
        <w:r w:rsidRPr="009A7C1E">
          <w:rPr>
            <w:rFonts w:ascii="Times New Roman" w:eastAsia="Calibri" w:hAnsi="Times New Roman" w:cs="Times New Roman"/>
            <w:sz w:val="24"/>
            <w:szCs w:val="24"/>
            <w:lang w:val="bg-BG"/>
          </w:rPr>
          <w:t>2003 г</w:t>
        </w:r>
      </w:smartTag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. за съставяне на актове и протоколи по време на строителството.</w:t>
      </w:r>
    </w:p>
    <w:p w:rsidR="00551214" w:rsidRPr="009A7C1E" w:rsidRDefault="00551214" w:rsidP="00551214">
      <w:pPr>
        <w:spacing w:before="120" w:after="0" w:line="240" w:lineRule="auto"/>
        <w:ind w:right="-1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Техническото изпълнение на строителството трябва да бъде изпълнено в съответствие с изискванията на българската нормативна уредба, техническите спецификации на вложените в строежа строителни продукти, материали и оборудване, и добрите строителни практики в България и в Европа.</w:t>
      </w:r>
    </w:p>
    <w:p w:rsidR="00551214" w:rsidRPr="009A7C1E" w:rsidRDefault="00551214" w:rsidP="00551214">
      <w:pPr>
        <w:spacing w:before="120" w:after="0" w:line="240" w:lineRule="auto"/>
        <w:ind w:right="-14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време на изпълнението на СМР за обновяване за енергийна ефективност, Изпълнителят на настоящата поръчка - лицензиран консултант, въз основа на сключен договор ще упражнява строителен надзор в обхвата на договора и съобразно изискванията на чл. 168 от ЗУТ.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3.3. Описание на дейностите по настоящата обществена поръчка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За изпълнение на дейностите на строителен надзор за всеки обект, Изпълнителят следва изискванията на чл. 168 от ЗУТ, чийто обхват е както следва: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законосъобразно започване на строежа;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пълнота и правилно съставяне на актовете и протоколите по време на строителството;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отговорност за изпълнението на строежите, съобразно одобрените инвестиционни проекти и изискванията по чл. 169, ал. 1 и 2 от ЗУТ; 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отговорност за спазване на изискванията за здравословно и безопасни условия за труд в строителството; в тази връзка </w:t>
      </w:r>
      <w:r w:rsidRPr="009A7C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определяне на правоспособно физическо лице от състава си за </w:t>
      </w:r>
      <w:r w:rsidRPr="009A7C1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координатор по безопасност и здраве (КБЗ) за етапа на изпълнение на строежа, съгласно чл.5, ал.1, точка 2 от Наредба №2.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ru-RU"/>
        </w:rPr>
        <w:t>КБЗ да изпълнява лично всички функции предвидени в Наредба №2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отговорност за недопускане на увреждане на трети лица и имоти вследствие на строителството;  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годността на строежа за въвеждане в експлоатация;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оценка за достъпност на строежа от лица с увреждания;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оценка на енергийната ефективност;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подписване на всички актове и протоколи по време на строителството, необходими за оценка на строежите, относно изискванията за безопасност и за законосъобразно изпълнение, съгласно наредба на министъра на регионалното развитие и благоустройството, за актове и протоколите , съставени по време на строителството;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за уведомление при нарушаване на техническите правила и нормативи на регионалната дирекция за национален строителен надзор в 3-дневен срок от установяване на нарушението;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 да изготвя окончателен доклад до възложителя, след приключване на строително - монтажните работи;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отговорност за щети, които са нанесени на възложителя и на другите участници във строителството и солидарна отговорност за щети, причинени от неспазване на техническите правила и нормативи и одобрените проекти. </w:t>
      </w:r>
    </w:p>
    <w:p w:rsidR="00551214" w:rsidRPr="009A7C1E" w:rsidRDefault="00551214" w:rsidP="00551214">
      <w:pPr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ru-RU"/>
        </w:rPr>
        <w:t>обезпечаване на постоянно присъствие на свои представители на обекта за времето, през което се изпълняват строително - монтажни работи.</w:t>
      </w:r>
    </w:p>
    <w:p w:rsidR="00551214" w:rsidRPr="009A7C1E" w:rsidRDefault="00551214" w:rsidP="00551214">
      <w:pPr>
        <w:suppressAutoHyphens/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19" w:name="_Toc409108750"/>
      <w:bookmarkStart w:id="20" w:name="_Toc409109027"/>
      <w:bookmarkStart w:id="21" w:name="_Toc313545906"/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3.4. </w:t>
      </w:r>
      <w:bookmarkEnd w:id="19"/>
      <w:bookmarkEnd w:id="20"/>
      <w:r w:rsidRPr="009A7C1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Приложимо законодателство и документи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lang w:val="bg-BG" w:eastAsia="bg-BG"/>
        </w:rPr>
        <w:t xml:space="preserve">При изпълнение на поръчката Изпълнителят следва да спазва стриктно приложимата нормативна уредба, която определя реда за извършване на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оценка на съответствието, </w:t>
      </w:r>
      <w:r w:rsidRPr="009A7C1E">
        <w:rPr>
          <w:rFonts w:ascii="Times New Roman" w:eastAsia="Times New Roman" w:hAnsi="Times New Roman" w:cs="Times New Roman"/>
          <w:lang w:val="bg-BG" w:eastAsia="bg-BG"/>
        </w:rPr>
        <w:t xml:space="preserve">строителен надзор,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 на мерки за енергийна ефективност и </w:t>
      </w:r>
      <w:r w:rsidRPr="009A7C1E">
        <w:rPr>
          <w:rFonts w:ascii="Times New Roman" w:eastAsia="Times New Roman" w:hAnsi="Times New Roman" w:cs="Times New Roman"/>
          <w:lang w:val="bg-BG" w:eastAsia="bg-BG"/>
        </w:rPr>
        <w:t>опазване на околната среда, а именно: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>Закона за устройство на територията и подзаконовите нормативни актове по неговото прилагане;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>Законът за опазване на околната среда;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>Законът за енергийната ефективност и подзаконовите нормативни актове по неговото прилагане;</w:t>
      </w:r>
    </w:p>
    <w:p w:rsidR="00551214" w:rsidRPr="009A7C1E" w:rsidRDefault="00551214" w:rsidP="005512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„Региони в растеж“ 2014-2020</w:t>
      </w:r>
      <w:r w:rsidRPr="005065D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Методическите указания към нея</w:t>
      </w:r>
    </w:p>
    <w:bookmarkEnd w:id="21"/>
    <w:p w:rsidR="00551214" w:rsidRPr="009A7C1E" w:rsidRDefault="00551214" w:rsidP="00551214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4.</w:t>
      </w: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  <w:t>КОНКРЕТНИ ЗАДЪЛЖЕНИЯ НА КОНСУЛТАНТА, ЧРЕЗ НЕГОВИЯ ЕКИП ОТ КВАЛИФИЦИРАНИ ЛИЦА</w:t>
      </w:r>
    </w:p>
    <w:p w:rsidR="00551214" w:rsidRPr="009A7C1E" w:rsidRDefault="00551214" w:rsidP="00551214">
      <w:pPr>
        <w:tabs>
          <w:tab w:val="right" w:pos="8789"/>
          <w:tab w:val="left" w:pos="9922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lastRenderedPageBreak/>
        <w:t>Чрез предложения екип от квалифицирани лица, определени съгласно изискванията на документацията, конкретните задължения на Консултанта за всеки отделен обект включват като минимум: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извърши технически контрол на проектите по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съответните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части, в т.ч на Работните проекти и Екзекутивите, изготвени в обхвата на Договора за Инженеринг.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изготви доклад за оценка на съответствието на работните проекти на възложените обекти и да упражнява строителен надзор и </w:t>
      </w:r>
      <w:r w:rsidRPr="009A7C1E">
        <w:rPr>
          <w:rFonts w:ascii="Times New Roman" w:eastAsia="Times New Roman" w:hAnsi="Times New Roman" w:cs="Times New Roman"/>
          <w:bCs/>
          <w:spacing w:val="-2"/>
          <w:sz w:val="24"/>
          <w:szCs w:val="20"/>
          <w:lang w:val="ru-RU"/>
        </w:rPr>
        <w:t>контрол по изпълнени</w:t>
      </w:r>
      <w:r w:rsidRPr="009A7C1E">
        <w:rPr>
          <w:rFonts w:ascii="Times New Roman" w:eastAsia="Times New Roman" w:hAnsi="Times New Roman" w:cs="Times New Roman"/>
          <w:bCs/>
          <w:spacing w:val="-2"/>
          <w:sz w:val="24"/>
          <w:szCs w:val="20"/>
          <w:lang w:val="bg-BG"/>
        </w:rPr>
        <w:t>e</w:t>
      </w:r>
      <w:r w:rsidRPr="009A7C1E">
        <w:rPr>
          <w:rFonts w:ascii="Times New Roman" w:eastAsia="Times New Roman" w:hAnsi="Times New Roman" w:cs="Times New Roman"/>
          <w:bCs/>
          <w:spacing w:val="-2"/>
          <w:sz w:val="24"/>
          <w:szCs w:val="20"/>
          <w:lang w:val="ru-RU"/>
        </w:rPr>
        <w:t>то на строителните работи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на обектите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 при условията на Техническата спецификация - неразделна част от този договор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, чрез специалистите по съответните части, включени в списъка на правоспособните физически лица.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Да упражнява пълен контрол по време на строителството, в съответствие с разпоредбите на чл. 168, ал. 1 от ЗУТ.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Да о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безпеч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и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постоянно присъствие на обекта на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експертите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по съответните части в зависимост от изпълняваните СМР.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Чрез лицата по т. 2 да подписва констативни протоколи за действително извършени СМР,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c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които се документират количеството, обемът и стойността на изпълнените видове СМР на обекта по договорени цени, съгласно сключения договор за инженеринг на обекта.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информира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за хода на строителството и изпълнението на възложените му дейности, както и за допуснатите пропуски, взетите мерки и необходимостта от съответни разпореждания от страна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Като представител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да изисква и ползва всички необходими документи и книжа за проверка на качеството на използваните строителни материали, да следи и контролира правилността на технологичната строителна операция и на качеството на изпълнените СМР. При констатиране на допуснати грешки, нарушения и явни дефекти от изпълнителя на СМР,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ИЗПЪЛНИТЕЛЯТ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по настоящия договор да вписва констатациите си в Заповедна книга за обекта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-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предмет на договора, да уведоми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и да изиска отстраняването им от строителя, допуснал нарушението.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дава разпорежданията си в писмена форма, регистрирани в Заповедната книга на обекта и задължително подписани от упълномощен представител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и изпълнителя на СМР на обекта. Разпорежданията се изпълняват незабавно след вписването им, за което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ИЗПЪЛНИТЕЛЯТ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проверява и записва в следваща нарочна заповед констатация по изпълнението им.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състави доклад до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при разногласие между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ИЗП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bg-BG"/>
        </w:rPr>
        <w:t>Ъ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ЛНИТЕЛЯ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и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другите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участници в строителството, в срок от 1 (един) ден от настъпването му.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ВЪЗЛОЖИТЕЛЯТ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се произнася в 3 (три) дневен срок от получаването на доклада със становище и решение на възникналото разногласие.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уведомява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за всички установени промени в договор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е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ните количества СМР, които са предмет на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количествено-стойностните сметки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, подписани от изпълнителя на СМР на обекта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lastRenderedPageBreak/>
        <w:t>Да следи за стриктното спазване на сроковете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,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заложени в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Линейния график за изпълнение на строителството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Да представ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в последния ден от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текущия месец междинни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доклади за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извършения строителен надзор по време на изпълнение на строително-монтажните работи.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След приключване на строителството да изготви Окончателен доклад относно законосъобразното изпълнение на строежа и готовността му за въвеждане в експлоатация на основание чл. 168, ал. 6 от ЗУТ и да го предаде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След изпълнението на договора да предаде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всички материали и документи, които са придобити, съставени или изготвени от него във връзка с дейностите в изпълнение на договора.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не възпрепятства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, лицата, извършващи проверки на място и одити при осъществяването на контрол по изпълнението на работите на обекта.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не разпространява по какъвто и да е начин пред трети лица собствена или служебна информация, станала му известна при и / или по повод изпълнението на договора, без изричното писмено съгласие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следи и докладва за нередности при изпълнението на договора. В случай на установена нередност,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ИЗПЪЛНИТЕЛЯТ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е длъжен да възстанови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всички неправомерно изплатени суми, заедно с дължимите лихви.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информира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за възникнали проблеми при изпълнението на проекта и за предприетите мерки за тяхното разрешаване.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При подписване на договора да представи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копие от валидни застрахователни полици в съответствие с Наредба за условията и реда за задължително застраховане в проектирането и строителството за този вид строеж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 xml:space="preserve">, като се задължава да поддържа валидна застраховка за целия период на изпълнение на задълженията си по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договора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Да спазва изискванията на приложимата нормативна уредба, както и изискванията на утвърдената Оперативна програма 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bg-BG"/>
        </w:rPr>
        <w:t>”Региони в растеж” 2014 - 2020 година.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При проверки на място от страна на </w:t>
      </w:r>
      <w:r w:rsidRPr="009A7C1E">
        <w:rPr>
          <w:rFonts w:ascii="Times New Roman" w:eastAsia="Times New Roman" w:hAnsi="Times New Roman" w:cs="Times New Roman"/>
          <w:b/>
          <w:spacing w:val="-2"/>
          <w:sz w:val="24"/>
          <w:szCs w:val="20"/>
          <w:lang w:val="ru-RU"/>
        </w:rPr>
        <w:t>ВЪЗЛОЖИТЕЛЯ</w:t>
      </w: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 xml:space="preserve"> и / или контролните органи да осигури присъствието на негов представител, както и да осигурява: достъп до помещения, преглед на документи, свързани с изпълнението на възложените дейности.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Да изпълнява мерките и препоръките, съдържащи се в докладите от проверки на място.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Да спазва изискванията за изпълнение на мерките за информация и публичност, определени в договора за безвъзмездна финансова помощ.</w:t>
      </w:r>
    </w:p>
    <w:p w:rsidR="00551214" w:rsidRPr="009A7C1E" w:rsidRDefault="00551214" w:rsidP="00551214">
      <w:pPr>
        <w:numPr>
          <w:ilvl w:val="0"/>
          <w:numId w:val="8"/>
        </w:numPr>
        <w:tabs>
          <w:tab w:val="left" w:pos="993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</w:pPr>
      <w:r w:rsidRPr="009A7C1E">
        <w:rPr>
          <w:rFonts w:ascii="Times New Roman" w:eastAsia="Times New Roman" w:hAnsi="Times New Roman" w:cs="Times New Roman"/>
          <w:spacing w:val="-2"/>
          <w:sz w:val="24"/>
          <w:szCs w:val="20"/>
          <w:lang w:val="ru-RU"/>
        </w:rPr>
        <w:t>Да съхранява всички документи по изпълнението на настоящия договор в срокове не по-малки от 5 (пет) години.</w:t>
      </w:r>
    </w:p>
    <w:p w:rsidR="00551214" w:rsidRPr="009A7C1E" w:rsidRDefault="00551214" w:rsidP="00551214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5.</w:t>
      </w: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  <w:t>НОСЕНЕ НА ОТГОВОРНОСТ ОТ ИЗПЪЛНИТЕЛЯ (НА ОСНОВАНИЕ ЧЛ. 168, АЛ. 1 ОТ ЗУТ)</w:t>
      </w:r>
    </w:p>
    <w:p w:rsidR="00551214" w:rsidRPr="009A7C1E" w:rsidRDefault="00551214" w:rsidP="00551214">
      <w:pPr>
        <w:numPr>
          <w:ilvl w:val="3"/>
          <w:numId w:val="7"/>
        </w:numPr>
        <w:spacing w:before="120"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Изпълнителят носи отговорност за спазване на условията на безопасност на труд, като отстранява от строителната площадка работещи и други намиращи се на нея лица за неспазване на изискванията за здравословни и безопасни условия на труд.</w:t>
      </w:r>
    </w:p>
    <w:p w:rsidR="00551214" w:rsidRPr="009A7C1E" w:rsidRDefault="00551214" w:rsidP="00551214">
      <w:pPr>
        <w:numPr>
          <w:ilvl w:val="3"/>
          <w:numId w:val="7"/>
        </w:numPr>
        <w:spacing w:before="120"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Изпълнителят носи отговорност за изпълнението на задълженията по Наредба №2 от определеният от него КБЗ за етапа на изпълнение на строежа включително:КБЗ да изпълнява лично всички функции предвидени в Наредба №2; КБЗ съвместно с проектанта и строителя да актуализира Плана за безопасност и здраве при отчитане настъпилите изменения с напредването на СМР;</w:t>
      </w:r>
    </w:p>
    <w:p w:rsidR="00551214" w:rsidRPr="009A7C1E" w:rsidRDefault="00551214" w:rsidP="00551214">
      <w:pPr>
        <w:numPr>
          <w:ilvl w:val="3"/>
          <w:numId w:val="7"/>
        </w:numPr>
        <w:spacing w:before="120"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Изпълнителят носи отговорност за правилното комплектоване на екзекутивната документация за строежа съгласно изискванията на чл.175, ал. 2 от ЗУТ;</w:t>
      </w:r>
    </w:p>
    <w:p w:rsidR="00551214" w:rsidRPr="009A7C1E" w:rsidRDefault="00551214" w:rsidP="00551214">
      <w:pPr>
        <w:numPr>
          <w:ilvl w:val="3"/>
          <w:numId w:val="7"/>
        </w:numPr>
        <w:spacing w:before="120"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Изпълнителят носи отговорност за скритите дефекти на СМР, появили се по време на експлоатацията на съответните части на строежа в гаранционните срокове, съгласно чл.20, ал.4 от Наредба № 2 / 31.07.2003 г.</w:t>
      </w:r>
    </w:p>
    <w:p w:rsidR="00551214" w:rsidRPr="009A7C1E" w:rsidRDefault="00551214" w:rsidP="00551214">
      <w:pPr>
        <w:spacing w:before="120"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6.</w:t>
      </w:r>
      <w:r w:rsidRPr="009A7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  <w:t>ДОКЛАДВАНЕ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Отчитането на работата на Изпълнителя се извършва чрез изготвяне и представяне на: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9A7C1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Доклад за оценка на съответствието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A7C1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 изготвените работни проекти за нуждите на обновяването на всяка сграда по отделно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, изготвен съгласно изискванията на ЗУТ и подзаконовите актове към него.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</w:t>
      </w:r>
      <w:r w:rsidRPr="009A7C1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Междинни</w:t>
      </w:r>
      <w:r w:rsidRPr="009A7C1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9A7C1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доклади за напредъка на СМР 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предоставят се на Възложителя в последния ден на текущия месец за извършения строителен надзор по време на изпълнение на строително-монтажните работи. Предават се 1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оригинал на хартиен носител и 1 екземпляр на електронен носител.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Междинните доклади трябва да съдържат: списък на основните дейности (видове работи) от строежа, за които е упражнен текущ строителен надзор, съставените документи (актове), възникнали проблеми (ако има такива) и съответно необходимите мерки (предприети и предстоящи) за решаването им.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срок до 5 дни от получаване на междинните доклади за текущия месец, Възложителят ги приема или връща за поправки и / или допълнения, които Изпълнителят следва на извърши в срок до 2 работни дни.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 за издаване на фактура за месечно междинно плащане е подписване на констативен протокол за одобрени междинни доклади от предходния месец.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9A7C1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Окончателен доклад относно законосъобразното изпълнение на строежа и готовността му за въвеждане в експлоатация след подписване на Акт образец №15</w:t>
      </w:r>
      <w:r w:rsidRPr="009A7C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изготвен съгласно изискванията на ЗУТ и подзаконовите актове към него.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В случаите, когато Възложителят установи, че представеният от Изпълнителя Окончателен доклад не отговаря на изискванията на техническата спецификация и/или законодателството и/или има неточности/пропуски/грешки, дава писмени предписания за поправки и допълнения, които Изпълнителят следва да извърши в срок до 2 работни дни.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</w:t>
      </w:r>
      <w:r w:rsidRPr="009A7C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9A7C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ПРИЕМАНЕ НА ИЗПЪЛНЕНИЕТО НА ПОРЪЧКАТА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Изпълнението на дейностите за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обекта</w:t>
      </w: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приема от Възложителя с подписване на приемо-предавателен протокол без забележки.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Услугата по договора се счита за изпълнена с подписването на окончателен приемно-предавателен протокол между Възложител и Изпълнител. Той следва да бъде подписан в срока на договора.</w:t>
      </w:r>
    </w:p>
    <w:p w:rsidR="00551214" w:rsidRPr="009A7C1E" w:rsidRDefault="00551214" w:rsidP="0055121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7C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</w:t>
      </w:r>
      <w:r w:rsidRPr="009A7C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СРОК ЗА ИЗПЪЛНЕНИЕ НА ПОРЪЧКАТА</w:t>
      </w:r>
    </w:p>
    <w:p w:rsidR="00551214" w:rsidRPr="009A7C1E" w:rsidRDefault="00551214" w:rsidP="00551214">
      <w:pPr>
        <w:tabs>
          <w:tab w:val="num" w:pos="14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Срокът за изпълнение на поръчката започва да тече от датата на сключване на договора с Изпълнителя. </w:t>
      </w:r>
    </w:p>
    <w:p w:rsidR="00551214" w:rsidRPr="009A7C1E" w:rsidRDefault="00551214" w:rsidP="00551214">
      <w:pPr>
        <w:tabs>
          <w:tab w:val="num" w:pos="14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>Изпълнителят ще изготви Доклада за оценка на съответствието на изготвените работни проекти за нуждите на обновяването на всеки отделен обект в срок до 15 календарни дни от получаването на окомплектован работен проект и необходимите съпътстващи документи.</w:t>
      </w:r>
    </w:p>
    <w:p w:rsidR="00551214" w:rsidRPr="009A7C1E" w:rsidRDefault="00551214" w:rsidP="00551214">
      <w:pPr>
        <w:tabs>
          <w:tab w:val="num" w:pos="14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Изпълнителят ще упражнява строителен надзор и контрол по строителството в периода от подписване на Протокола за откриване на строителна площадка до издаване на Разрешение за ползване за последния строеж, но не по-късно от </w:t>
      </w:r>
      <w:r w:rsidRPr="00BB4397">
        <w:rPr>
          <w:rFonts w:ascii="Times New Roman" w:eastAsia="Calibri" w:hAnsi="Times New Roman" w:cs="Times New Roman"/>
          <w:sz w:val="24"/>
          <w:szCs w:val="24"/>
          <w:lang w:val="bg-BG"/>
        </w:rPr>
        <w:t>30.12.2018 г.</w:t>
      </w:r>
    </w:p>
    <w:p w:rsidR="00551214" w:rsidRPr="00BB4397" w:rsidRDefault="00551214" w:rsidP="00551214">
      <w:pPr>
        <w:tabs>
          <w:tab w:val="left" w:pos="-6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9A7C1E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 xml:space="preserve">Срокът за изпълнение </w:t>
      </w:r>
      <w:r w:rsidRPr="009A7C1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 поръчката ще бъде съобразен със срока на действие на договорите с изпълнителя на инженеринг, определени чрез съответните процедури и ред за възлагане съгласно разпоредбите на ЗОП.</w:t>
      </w:r>
    </w:p>
    <w:p w:rsidR="009735D1" w:rsidRDefault="009735D1"/>
    <w:sectPr w:rsidR="009735D1" w:rsidSect="00E2326E">
      <w:headerReference w:type="default" r:id="rId5"/>
      <w:footerReference w:type="default" r:id="rId6"/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D3" w:rsidRPr="00453A8A" w:rsidRDefault="00551214" w:rsidP="00453A8A">
    <w:pPr>
      <w:pStyle w:val="Footer"/>
      <w:jc w:val="both"/>
    </w:pPr>
    <w:r w:rsidRPr="00453A8A">
      <w:rPr>
        <w:rFonts w:ascii="Times New Roman" w:eastAsia="Times New Roman" w:hAnsi="Times New Roman" w:cs="Times New Roman"/>
        <w:i/>
        <w:sz w:val="18"/>
        <w:szCs w:val="18"/>
        <w:lang w:val="bg-BG" w:eastAsia="bg-BG"/>
      </w:rPr>
      <w:t xml:space="preserve">Този документ е създаден в рамките на проект „Реконструкция, модернизация и въвеждане на мерки за енергийна ефективност в учебен корпус на Химикотехнологичен и </w:t>
    </w:r>
    <w:r w:rsidRPr="00453A8A">
      <w:rPr>
        <w:rFonts w:ascii="Times New Roman" w:eastAsia="Times New Roman" w:hAnsi="Times New Roman" w:cs="Times New Roman"/>
        <w:i/>
        <w:sz w:val="18"/>
        <w:szCs w:val="18"/>
        <w:lang w:val="bg-BG" w:eastAsia="bg-BG"/>
      </w:rPr>
      <w:t xml:space="preserve">металургичен университет- гр. София " , който се осъществява с финансовата подкрепа на Оперативна програма  „Региони в растеж” 2014-2020 г., съфинансирана от Европейския съюз чрез Европейския фонд за регионално развитие. Цялата отговорност за съдържанието </w:t>
    </w:r>
    <w:r w:rsidRPr="00453A8A">
      <w:rPr>
        <w:rFonts w:ascii="Times New Roman" w:eastAsia="Times New Roman" w:hAnsi="Times New Roman" w:cs="Times New Roman"/>
        <w:i/>
        <w:sz w:val="18"/>
        <w:szCs w:val="18"/>
        <w:lang w:val="bg-BG" w:eastAsia="bg-BG"/>
      </w:rPr>
      <w:t>на публикацията се носи от Химикотехнологичен и металургичен университет- гр.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2014-2020г.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D3" w:rsidRDefault="00551214" w:rsidP="008456CB">
    <w:pPr>
      <w:spacing w:after="120" w:line="240" w:lineRule="auto"/>
      <w:rPr>
        <w:rFonts w:ascii="Bookman Old Style" w:eastAsia="Times New Roman" w:hAnsi="Bookman Old Style" w:cs="Times New Roman"/>
        <w:b/>
        <w:color w:val="000080"/>
        <w:sz w:val="52"/>
        <w:szCs w:val="28"/>
        <w:lang w:val="bg-BG" w:eastAsia="bg-BG"/>
      </w:rPr>
    </w:pPr>
    <w:r>
      <w:rPr>
        <w:noProof/>
        <w:sz w:val="24"/>
        <w:szCs w:val="24"/>
        <w:lang w:val="bg-BG" w:eastAsia="bg-BG"/>
      </w:rPr>
      <w:drawing>
        <wp:inline distT="0" distB="0" distL="0" distR="0">
          <wp:extent cx="2047875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59E6">
      <w:rPr>
        <w:rFonts w:ascii="Bookman Old Style" w:eastAsia="Times New Roman" w:hAnsi="Bookman Old Style" w:cs="Times New Roman"/>
        <w:b/>
        <w:color w:val="000080"/>
        <w:sz w:val="52"/>
        <w:szCs w:val="28"/>
        <w:lang w:eastAsia="bg-BG"/>
      </w:rPr>
      <w:tab/>
    </w:r>
    <w:r w:rsidRPr="007359E6">
      <w:rPr>
        <w:rFonts w:ascii="Bookman Old Style" w:eastAsia="Times New Roman" w:hAnsi="Bookman Old Style" w:cs="Times New Roman"/>
        <w:b/>
        <w:color w:val="000080"/>
        <w:sz w:val="52"/>
        <w:szCs w:val="28"/>
        <w:lang w:eastAsia="bg-BG"/>
      </w:rPr>
      <w:tab/>
    </w:r>
    <w:r w:rsidRPr="007359E6">
      <w:rPr>
        <w:rFonts w:ascii="Bookman Old Style" w:eastAsia="Times New Roman" w:hAnsi="Bookman Old Style" w:cs="Times New Roman"/>
        <w:b/>
        <w:color w:val="000080"/>
        <w:sz w:val="52"/>
        <w:szCs w:val="28"/>
        <w:lang w:eastAsia="bg-BG"/>
      </w:rPr>
      <w:tab/>
    </w:r>
    <w:r w:rsidRPr="007359E6">
      <w:rPr>
        <w:rFonts w:ascii="Bookman Old Style" w:eastAsia="Times New Roman" w:hAnsi="Bookman Old Style" w:cs="Times New Roman"/>
        <w:b/>
        <w:color w:val="000080"/>
        <w:sz w:val="52"/>
        <w:szCs w:val="28"/>
        <w:lang w:eastAsia="bg-BG"/>
      </w:rPr>
      <w:tab/>
    </w:r>
    <w:r w:rsidRPr="007359E6">
      <w:rPr>
        <w:rFonts w:ascii="Bookman Old Style" w:eastAsia="Times New Roman" w:hAnsi="Bookman Old Style" w:cs="Times New Roman"/>
        <w:b/>
        <w:color w:val="000080"/>
        <w:sz w:val="52"/>
        <w:szCs w:val="28"/>
        <w:lang w:eastAsia="bg-BG"/>
      </w:rPr>
      <w:tab/>
    </w:r>
    <w:r w:rsidRPr="003827C7">
      <w:rPr>
        <w:noProof/>
        <w:sz w:val="24"/>
        <w:szCs w:val="24"/>
        <w:lang w:val="bg-BG" w:eastAsia="bg-BG"/>
      </w:rPr>
      <w:drawing>
        <wp:inline distT="0" distB="0" distL="0" distR="0">
          <wp:extent cx="1943100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AD3" w:rsidRPr="0058276D" w:rsidRDefault="00551214" w:rsidP="00BB42EA">
    <w:pPr>
      <w:spacing w:after="0" w:line="240" w:lineRule="auto"/>
      <w:rPr>
        <w:rFonts w:ascii="Bookman Old Style" w:eastAsia="Times New Roman" w:hAnsi="Bookman Old Style" w:cs="Times New Roman"/>
        <w:b/>
        <w:color w:val="000080"/>
        <w:sz w:val="18"/>
        <w:szCs w:val="18"/>
        <w:u w:val="single"/>
        <w:lang w:val="bg-BG" w:eastAsia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B9D"/>
    <w:multiLevelType w:val="hybridMultilevel"/>
    <w:tmpl w:val="95C64746"/>
    <w:lvl w:ilvl="0" w:tplc="CDE68A3C">
      <w:start w:val="1"/>
      <w:numFmt w:val="decimal"/>
      <w:lvlText w:val="%1."/>
      <w:lvlJc w:val="left"/>
      <w:pPr>
        <w:ind w:left="99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23A"/>
    <w:multiLevelType w:val="hybridMultilevel"/>
    <w:tmpl w:val="A12CC6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DF46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24076696"/>
    <w:multiLevelType w:val="hybridMultilevel"/>
    <w:tmpl w:val="3B103590"/>
    <w:lvl w:ilvl="0" w:tplc="4BBA9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0445C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5BBF"/>
    <w:multiLevelType w:val="hybridMultilevel"/>
    <w:tmpl w:val="D1E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2657"/>
    <w:multiLevelType w:val="hybridMultilevel"/>
    <w:tmpl w:val="69DC7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C6DB3"/>
    <w:multiLevelType w:val="hybridMultilevel"/>
    <w:tmpl w:val="85A6D8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D75"/>
    <w:multiLevelType w:val="hybridMultilevel"/>
    <w:tmpl w:val="D390D318"/>
    <w:lvl w:ilvl="0" w:tplc="EFFC5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F3A41"/>
    <w:multiLevelType w:val="hybridMultilevel"/>
    <w:tmpl w:val="F0F47A0E"/>
    <w:lvl w:ilvl="0" w:tplc="9FEE1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45EEB"/>
    <w:multiLevelType w:val="hybridMultilevel"/>
    <w:tmpl w:val="9FD8AFD4"/>
    <w:lvl w:ilvl="0" w:tplc="994466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1214"/>
    <w:rsid w:val="00551214"/>
    <w:rsid w:val="009735D1"/>
    <w:rsid w:val="00F5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12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14"/>
    <w:rPr>
      <w:lang w:val="en-US"/>
    </w:rPr>
  </w:style>
  <w:style w:type="paragraph" w:styleId="ListParagraph">
    <w:name w:val="List Paragraph"/>
    <w:basedOn w:val="Normal"/>
    <w:link w:val="ListParagraphChar"/>
    <w:qFormat/>
    <w:rsid w:val="0055121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5121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3858</Words>
  <Characters>21994</Characters>
  <Application>Microsoft Office Word</Application>
  <DocSecurity>0</DocSecurity>
  <Lines>183</Lines>
  <Paragraphs>51</Paragraphs>
  <ScaleCrop>false</ScaleCrop>
  <Company/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2017-08-31T11:09:00Z</dcterms:created>
  <dcterms:modified xsi:type="dcterms:W3CDTF">2017-08-31T11:10:00Z</dcterms:modified>
</cp:coreProperties>
</file>